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12DB" w14:textId="77777777" w:rsidR="00543219" w:rsidRDefault="00543219">
      <w:pPr>
        <w:pStyle w:val="BodyText"/>
        <w:spacing w:before="3"/>
        <w:rPr>
          <w:rFonts w:ascii="Times New Roman"/>
          <w:sz w:val="17"/>
        </w:rPr>
      </w:pPr>
      <w:bookmarkStart w:id="0" w:name="_GoBack"/>
      <w:bookmarkEnd w:id="0"/>
    </w:p>
    <w:p w14:paraId="76513851" w14:textId="7B729612" w:rsidR="00543219" w:rsidRDefault="007D043C" w:rsidP="00012E89">
      <w:pPr>
        <w:pStyle w:val="Heading1"/>
        <w:spacing w:before="101"/>
        <w:ind w:left="1944"/>
      </w:pPr>
      <w:r>
        <w:rPr>
          <w:noProof/>
        </w:rPr>
        <w:drawing>
          <wp:anchor distT="0" distB="0" distL="0" distR="0" simplePos="0" relativeHeight="1024" behindDoc="0" locked="0" layoutInCell="1" allowOverlap="1" wp14:anchorId="38273E3D" wp14:editId="548B8845">
            <wp:simplePos x="0" y="0"/>
            <wp:positionH relativeFrom="page">
              <wp:posOffset>968609</wp:posOffset>
            </wp:positionH>
            <wp:positionV relativeFrom="paragraph">
              <wp:posOffset>-121187</wp:posOffset>
            </wp:positionV>
            <wp:extent cx="850665" cy="8937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65" cy="893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GLOBAL </w:t>
      </w:r>
      <w:r w:rsidR="00012E89">
        <w:t>CONVENTION</w:t>
      </w:r>
      <w:r>
        <w:t xml:space="preserve"> TO END VIOLENCE AND HARASSMENT </w:t>
      </w:r>
      <w:r w:rsidR="00012E89">
        <w:t>IN THE WORLD OF WORK</w:t>
      </w:r>
    </w:p>
    <w:p w14:paraId="24EA76AF" w14:textId="1055663B" w:rsidR="00543219" w:rsidRDefault="00012E89">
      <w:pPr>
        <w:spacing w:line="294" w:lineRule="exact"/>
        <w:ind w:left="1942" w:right="313"/>
        <w:jc w:val="center"/>
        <w:rPr>
          <w:b/>
          <w:sz w:val="24"/>
        </w:rPr>
      </w:pPr>
      <w:r>
        <w:rPr>
          <w:b/>
          <w:sz w:val="24"/>
        </w:rPr>
        <w:t xml:space="preserve">Including </w:t>
      </w:r>
      <w:r w:rsidR="007D043C">
        <w:rPr>
          <w:b/>
          <w:sz w:val="24"/>
        </w:rPr>
        <w:t xml:space="preserve">Gender-Based Violence and Harassment </w:t>
      </w:r>
    </w:p>
    <w:p w14:paraId="373F946A" w14:textId="77777777" w:rsidR="007C055B" w:rsidRDefault="007C055B">
      <w:pPr>
        <w:spacing w:line="294" w:lineRule="exact"/>
        <w:ind w:left="1942" w:right="313"/>
        <w:jc w:val="center"/>
        <w:rPr>
          <w:b/>
          <w:sz w:val="24"/>
        </w:rPr>
      </w:pPr>
    </w:p>
    <w:p w14:paraId="51D7E9C5" w14:textId="77777777" w:rsidR="00543219" w:rsidRDefault="00543219">
      <w:pPr>
        <w:pStyle w:val="BodyText"/>
        <w:rPr>
          <w:b/>
          <w:sz w:val="20"/>
        </w:rPr>
      </w:pPr>
    </w:p>
    <w:p w14:paraId="45F5CDFD" w14:textId="0FD74DC6" w:rsidR="00543219" w:rsidRPr="00BC393F" w:rsidRDefault="007D04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1"/>
        <w:ind w:right="305"/>
      </w:pPr>
      <w:r w:rsidRPr="00BC393F">
        <w:t>The first-ever global</w:t>
      </w:r>
      <w:r w:rsidRPr="00BC393F">
        <w:rPr>
          <w:color w:val="0462C1"/>
        </w:rPr>
        <w:t xml:space="preserve"> </w:t>
      </w:r>
      <w:hyperlink r:id="rId8">
        <w:r w:rsidRPr="00BC393F">
          <w:rPr>
            <w:color w:val="0462C1"/>
            <w:u w:val="single" w:color="0462C1"/>
          </w:rPr>
          <w:t xml:space="preserve">binding global </w:t>
        </w:r>
        <w:r w:rsidR="00012E89" w:rsidRPr="00BC393F">
          <w:rPr>
            <w:color w:val="0462C1"/>
            <w:u w:val="single" w:color="0462C1"/>
          </w:rPr>
          <w:t>convention</w:t>
        </w:r>
        <w:r w:rsidRPr="00BC393F">
          <w:rPr>
            <w:color w:val="0462C1"/>
          </w:rPr>
          <w:t xml:space="preserve"> </w:t>
        </w:r>
      </w:hyperlink>
      <w:r w:rsidR="00900184" w:rsidRPr="00BC393F">
        <w:t>(standard) to</w:t>
      </w:r>
      <w:r w:rsidRPr="00BC393F">
        <w:t xml:space="preserve"> prevent and address violence and harassment at work, including gender-based violence and harassment, was a</w:t>
      </w:r>
      <w:r w:rsidR="00012E89" w:rsidRPr="00BC393F">
        <w:t xml:space="preserve">dopted by the International Labor Organization </w:t>
      </w:r>
      <w:r w:rsidR="00BC393F" w:rsidRPr="00BC393F">
        <w:t xml:space="preserve">in June 2019 </w:t>
      </w:r>
      <w:r w:rsidR="00012E89" w:rsidRPr="00BC393F">
        <w:t xml:space="preserve">after a </w:t>
      </w:r>
      <w:r w:rsidR="00BC393F" w:rsidRPr="00BC393F">
        <w:t xml:space="preserve">majority </w:t>
      </w:r>
      <w:r w:rsidR="00012E89" w:rsidRPr="00BC393F">
        <w:t>vote by</w:t>
      </w:r>
      <w:r w:rsidRPr="00BC393F">
        <w:t xml:space="preserve"> employer, government and worker </w:t>
      </w:r>
      <w:r w:rsidR="00012E89" w:rsidRPr="00BC393F">
        <w:t>representatives</w:t>
      </w:r>
      <w:r w:rsidRPr="00BC393F">
        <w:t>.</w:t>
      </w:r>
    </w:p>
    <w:p w14:paraId="01EC3C9A" w14:textId="77777777" w:rsidR="00543219" w:rsidRPr="00BC393F" w:rsidRDefault="00543219">
      <w:pPr>
        <w:pStyle w:val="BodyText"/>
        <w:spacing w:before="1"/>
      </w:pPr>
    </w:p>
    <w:p w14:paraId="5EDDA3AE" w14:textId="3160F426" w:rsidR="00543219" w:rsidRPr="00BC393F" w:rsidRDefault="009001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31"/>
      </w:pPr>
      <w:r w:rsidRPr="00BC393F">
        <w:t xml:space="preserve">The standard, ILO </w:t>
      </w:r>
      <w:r w:rsidR="00012E89" w:rsidRPr="00BC393F">
        <w:t>C</w:t>
      </w:r>
      <w:r w:rsidRPr="00BC393F">
        <w:t xml:space="preserve">onvention </w:t>
      </w:r>
      <w:r w:rsidR="00012E89" w:rsidRPr="00BC393F">
        <w:t>190</w:t>
      </w:r>
      <w:r w:rsidRPr="00BC393F">
        <w:t>,</w:t>
      </w:r>
      <w:r w:rsidR="007D043C" w:rsidRPr="00BC393F">
        <w:t xml:space="preserve"> defines </w:t>
      </w:r>
      <w:r w:rsidR="00012E89" w:rsidRPr="00BC393F">
        <w:t>“violence and harassment” in the world of work as “a range of unacceptable beh</w:t>
      </w:r>
      <w:r w:rsidRPr="00BC393F">
        <w:t>a</w:t>
      </w:r>
      <w:r w:rsidR="00012E89" w:rsidRPr="00BC393F">
        <w:t xml:space="preserve">viors and practices, or threats thereof, whether a single occurrence or repeated, that aim at, result in or are likely to result in physical, psychological, sexual or economic harm, and includes gender-based violence and harassment.  The term </w:t>
      </w:r>
      <w:r w:rsidRPr="00BC393F">
        <w:t>‘</w:t>
      </w:r>
      <w:r w:rsidR="007D043C" w:rsidRPr="00BC393F">
        <w:t>gender-based violence and harassment</w:t>
      </w:r>
      <w:r w:rsidRPr="00BC393F">
        <w:t>’</w:t>
      </w:r>
      <w:r w:rsidR="007D043C" w:rsidRPr="00BC393F">
        <w:t xml:space="preserve"> </w:t>
      </w:r>
      <w:r w:rsidR="00012E89" w:rsidRPr="00BC393F">
        <w:t>is defined as v</w:t>
      </w:r>
      <w:r w:rsidR="007D043C" w:rsidRPr="00BC393F">
        <w:t xml:space="preserve">iolence and harassment directed at persons because of their sex or gender </w:t>
      </w:r>
      <w:r w:rsidR="00012E89" w:rsidRPr="00BC393F">
        <w:t xml:space="preserve">or </w:t>
      </w:r>
      <w:r w:rsidR="007D043C" w:rsidRPr="00BC393F">
        <w:t>affecting persons of a particular sex or gender</w:t>
      </w:r>
      <w:r w:rsidR="007D043C" w:rsidRPr="00BC393F">
        <w:rPr>
          <w:spacing w:val="-3"/>
        </w:rPr>
        <w:t xml:space="preserve"> </w:t>
      </w:r>
      <w:r w:rsidR="007D043C" w:rsidRPr="00BC393F">
        <w:t>disproportionately</w:t>
      </w:r>
      <w:r w:rsidR="00012E89" w:rsidRPr="00BC393F">
        <w:t>, including sexual harassment</w:t>
      </w:r>
      <w:r w:rsidR="007D043C" w:rsidRPr="00BC393F">
        <w:t>.”</w:t>
      </w:r>
    </w:p>
    <w:p w14:paraId="77DD2BD7" w14:textId="77777777" w:rsidR="00543219" w:rsidRPr="00BC393F" w:rsidRDefault="00543219">
      <w:pPr>
        <w:pStyle w:val="BodyText"/>
        <w:spacing w:before="1"/>
      </w:pPr>
    </w:p>
    <w:p w14:paraId="2CD3F115" w14:textId="6CA632B0" w:rsidR="00543219" w:rsidRDefault="007C055B" w:rsidP="00BC393F">
      <w:pPr>
        <w:pStyle w:val="Heading2"/>
        <w:rPr>
          <w:color w:val="4471C4"/>
        </w:rPr>
      </w:pPr>
      <w:r w:rsidRPr="00BC393F">
        <w:rPr>
          <w:color w:val="4471C4"/>
        </w:rPr>
        <w:t xml:space="preserve">As part of </w:t>
      </w:r>
      <w:r w:rsidRPr="007C055B">
        <w:rPr>
          <w:color w:val="4471C4"/>
        </w:rPr>
        <w:t>key new provisions for advocacy by governments, employers, workers and allied organizations</w:t>
      </w:r>
      <w:r w:rsidRPr="00BC393F">
        <w:rPr>
          <w:color w:val="4471C4"/>
        </w:rPr>
        <w:t xml:space="preserve">, ILO </w:t>
      </w:r>
      <w:r w:rsidR="00012E89" w:rsidRPr="00BC393F">
        <w:rPr>
          <w:color w:val="4471C4"/>
        </w:rPr>
        <w:t xml:space="preserve">Convention </w:t>
      </w:r>
      <w:r w:rsidR="007D043C" w:rsidRPr="00BC393F">
        <w:rPr>
          <w:color w:val="4471C4"/>
        </w:rPr>
        <w:t>190</w:t>
      </w:r>
      <w:r w:rsidRPr="00BC393F">
        <w:rPr>
          <w:color w:val="4471C4"/>
        </w:rPr>
        <w:t>:</w:t>
      </w:r>
    </w:p>
    <w:p w14:paraId="3EF37F33" w14:textId="77777777" w:rsidR="00BC393F" w:rsidRPr="00BC393F" w:rsidRDefault="00BC393F" w:rsidP="00BC393F">
      <w:pPr>
        <w:pStyle w:val="Heading2"/>
        <w:rPr>
          <w:b w:val="0"/>
          <w:sz w:val="20"/>
          <w:szCs w:val="20"/>
        </w:rPr>
      </w:pPr>
    </w:p>
    <w:p w14:paraId="59D48952" w14:textId="008ED64E" w:rsidR="00543219" w:rsidRPr="00BC393F" w:rsidRDefault="007D043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25" w:lineRule="auto"/>
        <w:ind w:right="970"/>
        <w:rPr>
          <w:sz w:val="20"/>
          <w:szCs w:val="20"/>
        </w:rPr>
      </w:pPr>
      <w:r w:rsidRPr="00BC393F">
        <w:rPr>
          <w:sz w:val="20"/>
          <w:szCs w:val="20"/>
        </w:rPr>
        <w:t>Recognizes the need to address the root causes of gender-based violence, including gender inequality reinforced in stereotypes and</w:t>
      </w:r>
      <w:r w:rsidRPr="00BC393F">
        <w:rPr>
          <w:spacing w:val="-9"/>
          <w:sz w:val="20"/>
          <w:szCs w:val="20"/>
        </w:rPr>
        <w:t xml:space="preserve"> </w:t>
      </w:r>
      <w:r w:rsidRPr="00BC393F">
        <w:rPr>
          <w:sz w:val="20"/>
          <w:szCs w:val="20"/>
        </w:rPr>
        <w:t>norms</w:t>
      </w:r>
      <w:r w:rsidR="007C055B" w:rsidRPr="00BC393F">
        <w:rPr>
          <w:sz w:val="20"/>
          <w:szCs w:val="20"/>
        </w:rPr>
        <w:t>,</w:t>
      </w:r>
      <w:r w:rsidR="001A192F" w:rsidRPr="00BC393F">
        <w:rPr>
          <w:sz w:val="20"/>
          <w:szCs w:val="20"/>
        </w:rPr>
        <w:t xml:space="preserve"> </w:t>
      </w:r>
      <w:r w:rsidR="00900184" w:rsidRPr="00BC393F">
        <w:rPr>
          <w:sz w:val="20"/>
          <w:szCs w:val="20"/>
        </w:rPr>
        <w:t>so as</w:t>
      </w:r>
      <w:r w:rsidR="001A192F" w:rsidRPr="00BC393F">
        <w:rPr>
          <w:sz w:val="20"/>
          <w:szCs w:val="20"/>
        </w:rPr>
        <w:t xml:space="preserve"> to effectively prevent and address it</w:t>
      </w:r>
      <w:r w:rsidR="007C055B" w:rsidRPr="00BC393F">
        <w:rPr>
          <w:sz w:val="20"/>
          <w:szCs w:val="20"/>
        </w:rPr>
        <w:t>.</w:t>
      </w:r>
    </w:p>
    <w:p w14:paraId="49A4EEB2" w14:textId="77777777" w:rsidR="00543219" w:rsidRPr="00BC393F" w:rsidRDefault="00543219">
      <w:pPr>
        <w:pStyle w:val="BodyText"/>
        <w:spacing w:before="1"/>
        <w:rPr>
          <w:sz w:val="20"/>
          <w:szCs w:val="20"/>
        </w:rPr>
      </w:pPr>
    </w:p>
    <w:p w14:paraId="0174916F" w14:textId="02C027F6" w:rsidR="00543219" w:rsidRPr="00BC393F" w:rsidRDefault="007D043C" w:rsidP="007D043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79" w:lineRule="exact"/>
        <w:rPr>
          <w:sz w:val="20"/>
          <w:szCs w:val="20"/>
        </w:rPr>
      </w:pPr>
      <w:r w:rsidRPr="00BC393F">
        <w:rPr>
          <w:sz w:val="20"/>
          <w:szCs w:val="20"/>
        </w:rPr>
        <w:t xml:space="preserve">Includes sexual </w:t>
      </w:r>
      <w:proofErr w:type="gramStart"/>
      <w:r w:rsidRPr="00BC393F">
        <w:rPr>
          <w:sz w:val="20"/>
          <w:szCs w:val="20"/>
        </w:rPr>
        <w:t>harassment</w:t>
      </w:r>
      <w:r w:rsidR="00900184" w:rsidRPr="00BC393F">
        <w:rPr>
          <w:sz w:val="20"/>
          <w:szCs w:val="20"/>
        </w:rPr>
        <w:t>, but</w:t>
      </w:r>
      <w:proofErr w:type="gramEnd"/>
      <w:r w:rsidRPr="00BC393F">
        <w:rPr>
          <w:sz w:val="20"/>
          <w:szCs w:val="20"/>
        </w:rPr>
        <w:t xml:space="preserve"> recognizes there is a broader spectrum of violence and harassment based on sex and gender that must be address</w:t>
      </w:r>
      <w:r w:rsidR="007C055B" w:rsidRPr="00BC393F">
        <w:rPr>
          <w:sz w:val="20"/>
          <w:szCs w:val="20"/>
        </w:rPr>
        <w:t>ed</w:t>
      </w:r>
      <w:r w:rsidRPr="00BC393F">
        <w:rPr>
          <w:sz w:val="20"/>
          <w:szCs w:val="20"/>
        </w:rPr>
        <w:t xml:space="preserve">, and emphasizes </w:t>
      </w:r>
      <w:r w:rsidR="00900184" w:rsidRPr="00BC393F">
        <w:rPr>
          <w:sz w:val="20"/>
          <w:szCs w:val="20"/>
        </w:rPr>
        <w:t>GBVH</w:t>
      </w:r>
      <w:r w:rsidRPr="00BC393F">
        <w:rPr>
          <w:spacing w:val="-14"/>
          <w:sz w:val="20"/>
          <w:szCs w:val="20"/>
        </w:rPr>
        <w:t xml:space="preserve"> </w:t>
      </w:r>
      <w:r w:rsidRPr="00BC393F">
        <w:rPr>
          <w:sz w:val="20"/>
          <w:szCs w:val="20"/>
        </w:rPr>
        <w:t xml:space="preserve">is not about sex, </w:t>
      </w:r>
      <w:r w:rsidR="00900184" w:rsidRPr="00BC393F">
        <w:rPr>
          <w:sz w:val="20"/>
          <w:szCs w:val="20"/>
        </w:rPr>
        <w:t>but</w:t>
      </w:r>
      <w:r w:rsidRPr="00BC393F">
        <w:rPr>
          <w:sz w:val="20"/>
          <w:szCs w:val="20"/>
        </w:rPr>
        <w:t xml:space="preserve"> about power</w:t>
      </w:r>
      <w:r w:rsidR="007C055B" w:rsidRPr="00BC393F">
        <w:rPr>
          <w:sz w:val="20"/>
          <w:szCs w:val="20"/>
        </w:rPr>
        <w:t>.</w:t>
      </w:r>
    </w:p>
    <w:p w14:paraId="3EA246C8" w14:textId="77777777" w:rsidR="007D043C" w:rsidRPr="00BC393F" w:rsidRDefault="007D043C" w:rsidP="00900184">
      <w:pPr>
        <w:pStyle w:val="ListParagraph"/>
        <w:tabs>
          <w:tab w:val="left" w:pos="1540"/>
          <w:tab w:val="left" w:pos="1541"/>
        </w:tabs>
        <w:spacing w:before="1" w:line="279" w:lineRule="exact"/>
        <w:ind w:left="1540" w:firstLine="0"/>
        <w:rPr>
          <w:sz w:val="20"/>
          <w:szCs w:val="20"/>
        </w:rPr>
      </w:pPr>
    </w:p>
    <w:p w14:paraId="148BF125" w14:textId="7BC98102" w:rsidR="007D043C" w:rsidRPr="00BC393F" w:rsidRDefault="007D043C" w:rsidP="007D043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32" w:lineRule="auto"/>
        <w:ind w:right="245"/>
        <w:rPr>
          <w:sz w:val="20"/>
          <w:szCs w:val="20"/>
        </w:rPr>
      </w:pPr>
      <w:r w:rsidRPr="00BC393F">
        <w:rPr>
          <w:sz w:val="20"/>
          <w:szCs w:val="20"/>
        </w:rPr>
        <w:t xml:space="preserve">Acknowledges that how work is </w:t>
      </w:r>
      <w:r w:rsidRPr="00BC393F">
        <w:rPr>
          <w:b/>
          <w:color w:val="4471C4"/>
          <w:sz w:val="20"/>
          <w:szCs w:val="20"/>
        </w:rPr>
        <w:t>structured</w:t>
      </w:r>
      <w:r w:rsidRPr="00BC393F">
        <w:rPr>
          <w:sz w:val="20"/>
          <w:szCs w:val="20"/>
        </w:rPr>
        <w:t>, particularly precarious work</w:t>
      </w:r>
      <w:r w:rsidR="00900184" w:rsidRPr="00BC393F">
        <w:rPr>
          <w:sz w:val="20"/>
          <w:szCs w:val="20"/>
        </w:rPr>
        <w:t>,</w:t>
      </w:r>
      <w:r w:rsidRPr="00BC393F">
        <w:rPr>
          <w:sz w:val="20"/>
          <w:szCs w:val="20"/>
        </w:rPr>
        <w:t xml:space="preserve"> fosters a culture </w:t>
      </w:r>
      <w:r w:rsidR="00900184" w:rsidRPr="00BC393F">
        <w:rPr>
          <w:sz w:val="20"/>
          <w:szCs w:val="20"/>
        </w:rPr>
        <w:t>in which</w:t>
      </w:r>
      <w:r w:rsidRPr="00BC393F">
        <w:rPr>
          <w:sz w:val="20"/>
          <w:szCs w:val="20"/>
        </w:rPr>
        <w:t xml:space="preserve"> gender-based violence and harassment and similar abuses are more likely to occur</w:t>
      </w:r>
      <w:r w:rsidR="00900184" w:rsidRPr="00BC393F">
        <w:rPr>
          <w:sz w:val="20"/>
          <w:szCs w:val="20"/>
        </w:rPr>
        <w:t>.</w:t>
      </w:r>
    </w:p>
    <w:p w14:paraId="6FFBEF2B" w14:textId="77777777" w:rsidR="00543219" w:rsidRPr="00BC393F" w:rsidRDefault="00543219" w:rsidP="00900184">
      <w:pPr>
        <w:pStyle w:val="ListParagraph"/>
        <w:tabs>
          <w:tab w:val="left" w:pos="1540"/>
          <w:tab w:val="left" w:pos="1541"/>
        </w:tabs>
        <w:spacing w:before="1" w:line="279" w:lineRule="exact"/>
        <w:ind w:left="1540" w:firstLine="0"/>
        <w:rPr>
          <w:sz w:val="20"/>
          <w:szCs w:val="20"/>
        </w:rPr>
      </w:pPr>
    </w:p>
    <w:p w14:paraId="2F132608" w14:textId="74639FB8" w:rsidR="00543219" w:rsidRPr="00BC393F" w:rsidRDefault="007D043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32" w:lineRule="auto"/>
        <w:ind w:right="173"/>
        <w:rPr>
          <w:sz w:val="20"/>
          <w:szCs w:val="20"/>
        </w:rPr>
      </w:pPr>
      <w:r w:rsidRPr="00BC393F">
        <w:rPr>
          <w:sz w:val="20"/>
          <w:szCs w:val="20"/>
        </w:rPr>
        <w:t>Addresses all forms of violence and harassment</w:t>
      </w:r>
      <w:r w:rsidR="007C055B" w:rsidRPr="00BC393F">
        <w:rPr>
          <w:sz w:val="20"/>
          <w:szCs w:val="20"/>
        </w:rPr>
        <w:t>,</w:t>
      </w:r>
      <w:r w:rsidRPr="00BC393F">
        <w:rPr>
          <w:sz w:val="20"/>
          <w:szCs w:val="20"/>
        </w:rPr>
        <w:t xml:space="preserve"> such as those directed at personal characteristics like gender, race, ethnicity, immigration status, ability, sexual orientation and gender</w:t>
      </w:r>
      <w:r w:rsidRPr="00BC393F">
        <w:rPr>
          <w:spacing w:val="-4"/>
          <w:sz w:val="20"/>
          <w:szCs w:val="20"/>
        </w:rPr>
        <w:t xml:space="preserve"> </w:t>
      </w:r>
      <w:r w:rsidRPr="00BC393F">
        <w:rPr>
          <w:sz w:val="20"/>
          <w:szCs w:val="20"/>
        </w:rPr>
        <w:t>identity</w:t>
      </w:r>
      <w:r w:rsidR="00900184" w:rsidRPr="00BC393F">
        <w:rPr>
          <w:sz w:val="20"/>
          <w:szCs w:val="20"/>
        </w:rPr>
        <w:t>.</w:t>
      </w:r>
    </w:p>
    <w:p w14:paraId="0CA6C505" w14:textId="77777777" w:rsidR="00543219" w:rsidRPr="00BC393F" w:rsidRDefault="00543219">
      <w:pPr>
        <w:pStyle w:val="BodyText"/>
        <w:rPr>
          <w:sz w:val="20"/>
          <w:szCs w:val="20"/>
        </w:rPr>
      </w:pPr>
    </w:p>
    <w:p w14:paraId="74E1088F" w14:textId="19F1C18B" w:rsidR="00543219" w:rsidRPr="00BC393F" w:rsidRDefault="007D043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25" w:lineRule="auto"/>
        <w:ind w:right="1344"/>
        <w:rPr>
          <w:sz w:val="20"/>
          <w:szCs w:val="20"/>
        </w:rPr>
      </w:pPr>
      <w:r w:rsidRPr="00BC393F">
        <w:rPr>
          <w:sz w:val="20"/>
          <w:szCs w:val="20"/>
        </w:rPr>
        <w:t xml:space="preserve">Emphasizes the </w:t>
      </w:r>
      <w:r w:rsidRPr="00BC393F">
        <w:rPr>
          <w:b/>
          <w:color w:val="4471C4"/>
          <w:sz w:val="20"/>
          <w:szCs w:val="20"/>
        </w:rPr>
        <w:t xml:space="preserve">right </w:t>
      </w:r>
      <w:r w:rsidRPr="00BC393F">
        <w:rPr>
          <w:sz w:val="20"/>
          <w:szCs w:val="20"/>
        </w:rPr>
        <w:t>to a world of work free from violence and harassment</w:t>
      </w:r>
      <w:r w:rsidR="00900184" w:rsidRPr="00BC393F">
        <w:rPr>
          <w:sz w:val="20"/>
          <w:szCs w:val="20"/>
        </w:rPr>
        <w:t>.</w:t>
      </w:r>
    </w:p>
    <w:p w14:paraId="78125B8B" w14:textId="77777777" w:rsidR="00543219" w:rsidRPr="00BC393F" w:rsidRDefault="00543219">
      <w:pPr>
        <w:pStyle w:val="BodyText"/>
        <w:spacing w:before="2"/>
      </w:pPr>
    </w:p>
    <w:p w14:paraId="2C34395A" w14:textId="77777777" w:rsidR="00BC393F" w:rsidRPr="00BC393F" w:rsidRDefault="007D043C" w:rsidP="00BC393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25" w:lineRule="auto"/>
        <w:ind w:right="204"/>
        <w:rPr>
          <w:sz w:val="20"/>
          <w:szCs w:val="20"/>
        </w:rPr>
      </w:pPr>
      <w:r w:rsidRPr="00BC393F">
        <w:rPr>
          <w:sz w:val="20"/>
          <w:szCs w:val="20"/>
        </w:rPr>
        <w:t>Affirms that everyone has the right to be treated with dignity and respect on the</w:t>
      </w:r>
      <w:r w:rsidRPr="00BC393F">
        <w:rPr>
          <w:spacing w:val="-3"/>
          <w:sz w:val="20"/>
          <w:szCs w:val="20"/>
        </w:rPr>
        <w:t xml:space="preserve"> </w:t>
      </w:r>
      <w:r w:rsidRPr="00BC393F">
        <w:rPr>
          <w:sz w:val="20"/>
          <w:szCs w:val="20"/>
        </w:rPr>
        <w:t>job</w:t>
      </w:r>
      <w:r w:rsidR="007C055B" w:rsidRPr="00BC393F">
        <w:rPr>
          <w:sz w:val="20"/>
          <w:szCs w:val="20"/>
        </w:rPr>
        <w:t>.</w:t>
      </w:r>
    </w:p>
    <w:p w14:paraId="6A890371" w14:textId="77777777" w:rsidR="00BC393F" w:rsidRPr="00BC393F" w:rsidRDefault="00BC393F" w:rsidP="00BC393F">
      <w:pPr>
        <w:pStyle w:val="ListParagraph"/>
        <w:rPr>
          <w:sz w:val="20"/>
          <w:szCs w:val="20"/>
        </w:rPr>
      </w:pPr>
    </w:p>
    <w:p w14:paraId="1AFDD9C4" w14:textId="481D518F" w:rsidR="00BC393F" w:rsidRPr="007C7D88" w:rsidRDefault="007D043C" w:rsidP="00BC393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25" w:lineRule="auto"/>
        <w:ind w:right="204"/>
        <w:rPr>
          <w:sz w:val="20"/>
          <w:szCs w:val="20"/>
        </w:rPr>
      </w:pPr>
      <w:r w:rsidRPr="00BC393F">
        <w:rPr>
          <w:sz w:val="20"/>
          <w:szCs w:val="20"/>
        </w:rPr>
        <w:t xml:space="preserve">Recognizes that violence and harassment at work are tools that reflect and reinforce existing </w:t>
      </w:r>
      <w:r w:rsidRPr="00BC393F">
        <w:rPr>
          <w:b/>
          <w:color w:val="4471C4"/>
          <w:sz w:val="20"/>
          <w:szCs w:val="20"/>
        </w:rPr>
        <w:t>power</w:t>
      </w:r>
      <w:r w:rsidRPr="00BC393F">
        <w:rPr>
          <w:b/>
          <w:color w:val="4471C4"/>
          <w:spacing w:val="-4"/>
          <w:sz w:val="20"/>
          <w:szCs w:val="20"/>
        </w:rPr>
        <w:t xml:space="preserve"> </w:t>
      </w:r>
      <w:r w:rsidRPr="00BC393F">
        <w:rPr>
          <w:b/>
          <w:color w:val="4471C4"/>
          <w:sz w:val="20"/>
          <w:szCs w:val="20"/>
        </w:rPr>
        <w:t>hierarchies</w:t>
      </w:r>
      <w:r w:rsidR="00BC393F" w:rsidRPr="00BC393F">
        <w:rPr>
          <w:bCs/>
          <w:sz w:val="20"/>
          <w:szCs w:val="20"/>
        </w:rPr>
        <w:t>.</w:t>
      </w:r>
    </w:p>
    <w:p w14:paraId="4205A384" w14:textId="77777777" w:rsidR="007C7D88" w:rsidRPr="007C7D88" w:rsidRDefault="007C7D88" w:rsidP="007C7D88">
      <w:pPr>
        <w:pStyle w:val="ListParagraph"/>
        <w:rPr>
          <w:sz w:val="20"/>
          <w:szCs w:val="20"/>
        </w:rPr>
      </w:pPr>
    </w:p>
    <w:p w14:paraId="27CEC26D" w14:textId="78B63225" w:rsidR="007C7D88" w:rsidRDefault="007C7D88" w:rsidP="007C7D88">
      <w:pPr>
        <w:pStyle w:val="ListParagraph"/>
        <w:tabs>
          <w:tab w:val="left" w:pos="1540"/>
          <w:tab w:val="left" w:pos="1541"/>
        </w:tabs>
        <w:spacing w:line="225" w:lineRule="auto"/>
        <w:ind w:right="204" w:firstLine="0"/>
        <w:rPr>
          <w:sz w:val="20"/>
          <w:szCs w:val="20"/>
        </w:rPr>
      </w:pPr>
    </w:p>
    <w:p w14:paraId="00AEAF81" w14:textId="77777777" w:rsidR="007C7D88" w:rsidRPr="00BC393F" w:rsidRDefault="007C7D88" w:rsidP="007C7D88">
      <w:pPr>
        <w:pStyle w:val="ListParagraph"/>
        <w:tabs>
          <w:tab w:val="left" w:pos="1540"/>
          <w:tab w:val="left" w:pos="1541"/>
        </w:tabs>
        <w:spacing w:line="225" w:lineRule="auto"/>
        <w:ind w:right="204" w:firstLine="0"/>
        <w:rPr>
          <w:sz w:val="20"/>
          <w:szCs w:val="20"/>
        </w:rPr>
      </w:pPr>
    </w:p>
    <w:p w14:paraId="6D47BA96" w14:textId="77777777" w:rsidR="00BC393F" w:rsidRPr="00BC393F" w:rsidRDefault="00BC393F" w:rsidP="00BC393F">
      <w:pPr>
        <w:pStyle w:val="ListParagraph"/>
        <w:rPr>
          <w:sz w:val="20"/>
          <w:szCs w:val="20"/>
        </w:rPr>
      </w:pPr>
    </w:p>
    <w:p w14:paraId="70BF12F8" w14:textId="77777777" w:rsidR="00BC393F" w:rsidRPr="00BC393F" w:rsidRDefault="00BC393F" w:rsidP="00BC393F">
      <w:pPr>
        <w:pStyle w:val="ListParagraph"/>
        <w:tabs>
          <w:tab w:val="left" w:pos="1540"/>
          <w:tab w:val="left" w:pos="1541"/>
        </w:tabs>
        <w:spacing w:line="225" w:lineRule="auto"/>
        <w:ind w:right="204" w:firstLine="0"/>
        <w:rPr>
          <w:sz w:val="20"/>
          <w:szCs w:val="20"/>
        </w:rPr>
      </w:pPr>
    </w:p>
    <w:p w14:paraId="53167540" w14:textId="77777777" w:rsidR="00BC393F" w:rsidRPr="00BC393F" w:rsidRDefault="00BC393F" w:rsidP="00BC393F">
      <w:pPr>
        <w:pStyle w:val="ListParagraph"/>
        <w:rPr>
          <w:b/>
        </w:rPr>
      </w:pPr>
    </w:p>
    <w:p w14:paraId="150BC480" w14:textId="049EFA37" w:rsidR="00543219" w:rsidRPr="00BC393F" w:rsidRDefault="009001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584"/>
      </w:pPr>
      <w:r w:rsidRPr="00BC393F">
        <w:lastRenderedPageBreak/>
        <w:t>Convention</w:t>
      </w:r>
      <w:r w:rsidR="007D043C" w:rsidRPr="00BC393F">
        <w:t xml:space="preserve"> 190 addresses the varied forms of work today and takes an inclusive approach by including all workers, including formal and informal workers, any contractual status, job seekers, trainees and volunteers, </w:t>
      </w:r>
      <w:r w:rsidRPr="00BC393F">
        <w:t>and so</w:t>
      </w:r>
      <w:r w:rsidR="007D043C" w:rsidRPr="00BC393F">
        <w:t xml:space="preserve"> specifically includ</w:t>
      </w:r>
      <w:r w:rsidRPr="00BC393F">
        <w:t>es</w:t>
      </w:r>
      <w:r w:rsidR="007D043C" w:rsidRPr="00BC393F">
        <w:t xml:space="preserve"> more women</w:t>
      </w:r>
      <w:r w:rsidR="007D043C" w:rsidRPr="00BC393F">
        <w:rPr>
          <w:spacing w:val="-12"/>
        </w:rPr>
        <w:t xml:space="preserve"> </w:t>
      </w:r>
      <w:r w:rsidR="007D043C" w:rsidRPr="00BC393F">
        <w:t>workers.</w:t>
      </w:r>
    </w:p>
    <w:p w14:paraId="497DCB05" w14:textId="152725A0" w:rsidR="00543219" w:rsidRPr="00BC393F" w:rsidRDefault="007D04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1"/>
        <w:ind w:right="116"/>
      </w:pPr>
      <w:r w:rsidRPr="00BC393F">
        <w:t>It also recognizes where and how work is performed today by applying to public and private worksites, where workers are paid, take a rest break or meal or use sanitary, washing or changing facilities, work-related trips, travel, training, events or social activities, work-related communications, employer-provided accommodations and commuting to and from</w:t>
      </w:r>
      <w:r w:rsidRPr="00BC393F">
        <w:rPr>
          <w:spacing w:val="-15"/>
        </w:rPr>
        <w:t xml:space="preserve"> </w:t>
      </w:r>
      <w:r w:rsidRPr="00BC393F">
        <w:t>work.</w:t>
      </w:r>
    </w:p>
    <w:p w14:paraId="79E25AAD" w14:textId="77777777" w:rsidR="00543219" w:rsidRPr="00BC393F" w:rsidRDefault="00543219">
      <w:pPr>
        <w:pStyle w:val="BodyText"/>
        <w:spacing w:before="1"/>
      </w:pPr>
    </w:p>
    <w:p w14:paraId="7BBD9335" w14:textId="19DB38C1" w:rsidR="00543219" w:rsidRPr="00BC393F" w:rsidRDefault="007D043C">
      <w:pPr>
        <w:pStyle w:val="Heading2"/>
      </w:pPr>
      <w:r w:rsidRPr="00BC393F">
        <w:rPr>
          <w:color w:val="4471C4"/>
        </w:rPr>
        <w:t>Governments Must Ratify ILO 190 to Maximize its Effectiveness</w:t>
      </w:r>
    </w:p>
    <w:p w14:paraId="32C55BE7" w14:textId="77777777" w:rsidR="00543219" w:rsidRPr="00BC393F" w:rsidRDefault="00543219">
      <w:pPr>
        <w:pStyle w:val="BodyText"/>
        <w:spacing w:before="11"/>
        <w:rPr>
          <w:b/>
        </w:rPr>
      </w:pPr>
    </w:p>
    <w:p w14:paraId="58638C4D" w14:textId="0A1CFE7C" w:rsidR="00543219" w:rsidRPr="00BC393F" w:rsidRDefault="007D04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16"/>
      </w:pPr>
      <w:r w:rsidRPr="00BC393F">
        <w:t>The Convention requires governments to take measures to prevent and protect workers from violence and harassment, including gender-based violence and harassment, by providing enforcement mechanisms and remedies for victims, including financial compensation. Enforcement mechanisms include ensuring effective inspections, investigations and protection from</w:t>
      </w:r>
      <w:r w:rsidRPr="00BC393F">
        <w:rPr>
          <w:spacing w:val="-14"/>
        </w:rPr>
        <w:t xml:space="preserve"> </w:t>
      </w:r>
      <w:r w:rsidRPr="00BC393F">
        <w:t>retaliation.</w:t>
      </w:r>
    </w:p>
    <w:p w14:paraId="7E0A4893" w14:textId="77777777" w:rsidR="00543219" w:rsidRPr="00BC393F" w:rsidRDefault="00543219">
      <w:pPr>
        <w:pStyle w:val="BodyText"/>
        <w:spacing w:before="2"/>
      </w:pPr>
    </w:p>
    <w:p w14:paraId="6B8F311A" w14:textId="77777777" w:rsidR="00543219" w:rsidRPr="00BC393F" w:rsidRDefault="007D04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89"/>
      </w:pPr>
      <w:r w:rsidRPr="00BC393F">
        <w:t>Ratifying countries must adopt an inclusive, integrated and gender-responsive approach to prevent and eliminate violence and harassment including</w:t>
      </w:r>
      <w:r w:rsidRPr="00BC393F">
        <w:rPr>
          <w:spacing w:val="-33"/>
        </w:rPr>
        <w:t xml:space="preserve"> </w:t>
      </w:r>
      <w:r w:rsidRPr="00BC393F">
        <w:t>access to</w:t>
      </w:r>
      <w:r w:rsidRPr="00BC393F">
        <w:rPr>
          <w:spacing w:val="-2"/>
        </w:rPr>
        <w:t xml:space="preserve"> </w:t>
      </w:r>
      <w:r w:rsidRPr="00BC393F">
        <w:t>remedy.</w:t>
      </w:r>
    </w:p>
    <w:p w14:paraId="6F5B9C77" w14:textId="77777777" w:rsidR="00543219" w:rsidRPr="00BC393F" w:rsidRDefault="00543219">
      <w:pPr>
        <w:pStyle w:val="BodyText"/>
        <w:spacing w:before="11"/>
      </w:pPr>
    </w:p>
    <w:p w14:paraId="288E8255" w14:textId="77777777" w:rsidR="00543219" w:rsidRPr="00BC393F" w:rsidRDefault="007D04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84"/>
      </w:pPr>
      <w:r w:rsidRPr="00BC393F">
        <w:t xml:space="preserve">States that ratify must address the root causes of violence and harassment including </w:t>
      </w:r>
      <w:r w:rsidRPr="00BC393F">
        <w:rPr>
          <w:b/>
          <w:color w:val="4471C4"/>
        </w:rPr>
        <w:t>discrimination</w:t>
      </w:r>
      <w:r w:rsidRPr="00BC393F">
        <w:t xml:space="preserve">, </w:t>
      </w:r>
      <w:r w:rsidRPr="00BC393F">
        <w:rPr>
          <w:b/>
          <w:color w:val="4471C4"/>
        </w:rPr>
        <w:t xml:space="preserve">power relationships </w:t>
      </w:r>
      <w:r w:rsidRPr="00BC393F">
        <w:t xml:space="preserve">and </w:t>
      </w:r>
      <w:r w:rsidRPr="00BC393F">
        <w:rPr>
          <w:b/>
          <w:color w:val="4471C4"/>
        </w:rPr>
        <w:t>precarious working arrangements</w:t>
      </w:r>
      <w:r w:rsidRPr="00BC393F">
        <w:rPr>
          <w:color w:val="4471C4"/>
        </w:rPr>
        <w:t>.</w:t>
      </w:r>
    </w:p>
    <w:p w14:paraId="7E2ACF84" w14:textId="77777777" w:rsidR="00543219" w:rsidRPr="00BC393F" w:rsidRDefault="00543219">
      <w:pPr>
        <w:pStyle w:val="BodyText"/>
        <w:spacing w:before="1"/>
      </w:pPr>
    </w:p>
    <w:p w14:paraId="4B67F696" w14:textId="77777777" w:rsidR="00543219" w:rsidRPr="00BC393F" w:rsidRDefault="007D04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6"/>
      </w:pPr>
      <w:r w:rsidRPr="00BC393F">
        <w:t>Governments must now take concrete steps toward addressing and eradicating gender-based violence and harassment at work by ratifying Convention 190 to make it binding in their</w:t>
      </w:r>
      <w:r w:rsidRPr="00BC393F">
        <w:rPr>
          <w:spacing w:val="-10"/>
        </w:rPr>
        <w:t xml:space="preserve"> </w:t>
      </w:r>
      <w:r w:rsidRPr="00BC393F">
        <w:t>countries.</w:t>
      </w:r>
    </w:p>
    <w:sectPr w:rsidR="00543219" w:rsidRPr="00BC393F" w:rsidSect="007C7D88">
      <w:headerReference w:type="default" r:id="rId9"/>
      <w:pgSz w:w="12240" w:h="15840"/>
      <w:pgMar w:top="1500" w:right="138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2DD59" w14:textId="77777777" w:rsidR="000228F6" w:rsidRDefault="000228F6" w:rsidP="00BC393F">
      <w:r>
        <w:separator/>
      </w:r>
    </w:p>
  </w:endnote>
  <w:endnote w:type="continuationSeparator" w:id="0">
    <w:p w14:paraId="6278E69F" w14:textId="77777777" w:rsidR="000228F6" w:rsidRDefault="000228F6" w:rsidP="00BC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3CC4" w14:textId="77777777" w:rsidR="000228F6" w:rsidRDefault="000228F6" w:rsidP="00BC393F">
      <w:r>
        <w:separator/>
      </w:r>
    </w:p>
  </w:footnote>
  <w:footnote w:type="continuationSeparator" w:id="0">
    <w:p w14:paraId="159C9126" w14:textId="77777777" w:rsidR="000228F6" w:rsidRDefault="000228F6" w:rsidP="00BC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F6F13" w14:textId="60EE2AD6" w:rsidR="00BC393F" w:rsidRDefault="00BC393F">
    <w:pPr>
      <w:pStyle w:val="Header"/>
    </w:pPr>
    <w:r>
      <w:rPr>
        <w:noProof/>
      </w:rPr>
      <w:drawing>
        <wp:inline distT="0" distB="0" distL="0" distR="0" wp14:anchorId="3F84EE79" wp14:editId="3B67D97F">
          <wp:extent cx="535936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44" cy="53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0876B" w14:textId="77777777" w:rsidR="00BC393F" w:rsidRDefault="00BC3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872B5"/>
    <w:multiLevelType w:val="hybridMultilevel"/>
    <w:tmpl w:val="A126A580"/>
    <w:lvl w:ilvl="0" w:tplc="B60C66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4EA918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FCF04082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3" w:tplc="1AB0272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4" w:tplc="0BC01F6A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9FB0CFD0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6" w:tplc="D73A8354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en-US"/>
      </w:rPr>
    </w:lvl>
    <w:lvl w:ilvl="7" w:tplc="C1C4FC66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8" w:tplc="7C6CB290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19"/>
    <w:rsid w:val="00012E89"/>
    <w:rsid w:val="000228F6"/>
    <w:rsid w:val="001A192F"/>
    <w:rsid w:val="00543219"/>
    <w:rsid w:val="007122EC"/>
    <w:rsid w:val="007C055B"/>
    <w:rsid w:val="007C7D88"/>
    <w:rsid w:val="007D043C"/>
    <w:rsid w:val="00900184"/>
    <w:rsid w:val="00B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06BB"/>
  <w15:docId w15:val="{594B709B-D919-4C96-B1F4-FFA9BC4B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line="294" w:lineRule="exact"/>
      <w:ind w:left="1942" w:right="31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2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89"/>
    <w:rPr>
      <w:rFonts w:ascii="Segoe UI" w:eastAsia="Century Gothic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2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E89"/>
    <w:rPr>
      <w:rFonts w:ascii="Century Gothic" w:eastAsia="Century Gothic" w:hAnsi="Century Gothic" w:cs="Century Gothic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E89"/>
    <w:rPr>
      <w:rFonts w:ascii="Century Gothic" w:eastAsia="Century Gothic" w:hAnsi="Century Gothic" w:cs="Century Gothic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3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93F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C3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93F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dyn/normlex/en/f?p=NORMLEXPUB%3A12100%3A0%3A%3ANO%3A%3AP12100_ILO_CODE%3AC1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 Connell</dc:creator>
  <cp:lastModifiedBy>Tula Connell</cp:lastModifiedBy>
  <cp:revision>3</cp:revision>
  <dcterms:created xsi:type="dcterms:W3CDTF">2019-09-05T18:48:00Z</dcterms:created>
  <dcterms:modified xsi:type="dcterms:W3CDTF">2019-10-01T14:14:00Z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2019-09-03T00:00:00Z</vt:filetime>
  </property>
</Properties>
</file>